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left"/>
        <w:rPr>
          <w:rFonts w:hint="eastAsia" w:ascii="宋体" w:hAnsi="宋体" w:cs="宋体"/>
          <w:bCs/>
          <w:sz w:val="32"/>
          <w:szCs w:val="32"/>
          <w:highlight w:val="none"/>
        </w:rPr>
      </w:pPr>
      <w:r>
        <w:rPr>
          <w:rFonts w:hint="eastAsia" w:ascii="宋体" w:hAnsi="宋体" w:cs="宋体"/>
          <w:bCs/>
          <w:sz w:val="32"/>
          <w:szCs w:val="32"/>
          <w:highlight w:val="none"/>
        </w:rPr>
        <w:t>附件1：</w:t>
      </w:r>
    </w:p>
    <w:p>
      <w:pPr>
        <w:spacing w:line="360" w:lineRule="auto"/>
        <w:jc w:val="center"/>
        <w:rPr>
          <w:rFonts w:hint="eastAsia" w:ascii="宋体" w:hAnsi="宋体" w:cs="宋体"/>
          <w:b/>
          <w:color w:val="000000"/>
          <w:sz w:val="36"/>
          <w:highlight w:val="none"/>
        </w:rPr>
      </w:pPr>
      <w:r>
        <w:rPr>
          <w:rFonts w:hint="eastAsia" w:ascii="宋体" w:hAnsi="宋体" w:cs="宋体"/>
          <w:b/>
          <w:color w:val="000000"/>
          <w:sz w:val="36"/>
          <w:highlight w:val="none"/>
        </w:rPr>
        <w:t>材料科学与技术学院推荐2027届优秀应届本科毕业生</w:t>
      </w:r>
    </w:p>
    <w:p>
      <w:pPr>
        <w:spacing w:line="360" w:lineRule="auto"/>
        <w:jc w:val="center"/>
        <w:rPr>
          <w:rFonts w:hint="eastAsia" w:ascii="宋体" w:hAnsi="宋体" w:cs="宋体"/>
          <w:b/>
          <w:color w:val="000000"/>
          <w:sz w:val="36"/>
          <w:highlight w:val="none"/>
        </w:rPr>
      </w:pPr>
      <w:r>
        <w:rPr>
          <w:rFonts w:hint="eastAsia" w:ascii="宋体" w:hAnsi="宋体" w:cs="宋体"/>
          <w:b/>
          <w:color w:val="000000"/>
          <w:sz w:val="36"/>
          <w:highlight w:val="none"/>
        </w:rPr>
        <w:t>免试攻读研究生工作综合素质测评方案</w:t>
      </w:r>
    </w:p>
    <w:p>
      <w:pPr>
        <w:spacing w:after="156" w:afterLines="50" w:line="360" w:lineRule="auto"/>
        <w:ind w:firstLine="560" w:firstLineChars="200"/>
        <w:rPr>
          <w:rFonts w:hint="eastAsia" w:ascii="宋体" w:hAnsi="宋体" w:cs="宋体"/>
          <w:sz w:val="28"/>
          <w:szCs w:val="28"/>
          <w:highlight w:val="none"/>
        </w:rPr>
      </w:pPr>
      <w:r>
        <w:rPr>
          <w:rFonts w:hint="eastAsia" w:ascii="宋体" w:hAnsi="宋体" w:cs="宋体"/>
          <w:sz w:val="28"/>
          <w:szCs w:val="28"/>
          <w:highlight w:val="none"/>
        </w:rPr>
        <w:t>根据《北京林业大学推荐2027届优秀应届本科毕业生免试攻读研究生工作方案》中关于综合素质成绩的要求，本着公平公正，体现学生一贯表现的原则，特制定2027届推免综合素质测评方案如下：</w:t>
      </w:r>
      <w:bookmarkStart w:id="3" w:name="_GoBack"/>
      <w:bookmarkEnd w:id="3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cs="宋体"/>
          <w:sz w:val="28"/>
          <w:szCs w:val="28"/>
          <w:highlight w:val="none"/>
        </w:rPr>
      </w:pPr>
      <w:r>
        <w:rPr>
          <w:rFonts w:hint="eastAsia" w:ascii="宋体" w:hAnsi="宋体" w:cs="宋体"/>
          <w:sz w:val="28"/>
          <w:szCs w:val="28"/>
          <w:highlight w:val="none"/>
        </w:rPr>
        <w:t>一、2023级本科生</w:t>
      </w:r>
    </w:p>
    <w:p>
      <w:pPr>
        <w:spacing w:after="156" w:afterLines="50" w:line="360" w:lineRule="auto"/>
        <w:ind w:firstLine="560" w:firstLineChars="200"/>
        <w:rPr>
          <w:rFonts w:hint="eastAsia" w:ascii="宋体" w:hAnsi="宋体" w:cs="宋体"/>
          <w:sz w:val="28"/>
          <w:szCs w:val="28"/>
          <w:highlight w:val="none"/>
        </w:rPr>
      </w:pPr>
      <w:r>
        <w:rPr>
          <w:rFonts w:hint="eastAsia" w:ascii="宋体" w:hAnsi="宋体" w:cs="宋体"/>
          <w:sz w:val="28"/>
          <w:szCs w:val="28"/>
          <w:highlight w:val="none"/>
        </w:rPr>
        <w:t>（一）在2023级本科生保研环节，应用于综合成绩的综合素质成绩（以下简称“综素”）为</w:t>
      </w:r>
      <w:r>
        <w:rPr>
          <w:rFonts w:hint="eastAsia" w:ascii="宋体" w:hAnsi="宋体" w:cs="宋体"/>
          <w:b/>
          <w:bCs/>
          <w:sz w:val="28"/>
          <w:szCs w:val="28"/>
          <w:highlight w:val="none"/>
        </w:rPr>
        <w:t>综素标准分</w:t>
      </w:r>
      <w:r>
        <w:rPr>
          <w:rFonts w:hint="eastAsia" w:ascii="宋体" w:hAnsi="宋体" w:cs="宋体"/>
          <w:sz w:val="28"/>
          <w:szCs w:val="28"/>
          <w:highlight w:val="none"/>
        </w:rPr>
        <w:t>，采用百分制，在计算综合成绩时赋予10%权重。</w:t>
      </w:r>
      <w:bookmarkStart w:id="0" w:name="OLE_LINK2"/>
      <w:r>
        <w:rPr>
          <w:rFonts w:hint="eastAsia" w:ascii="宋体" w:hAnsi="宋体" w:cs="宋体"/>
          <w:sz w:val="28"/>
          <w:szCs w:val="28"/>
          <w:highlight w:val="none"/>
          <w:u w:val="single"/>
        </w:rPr>
        <w:t>综素标准分=学生</w:t>
      </w:r>
      <w:r>
        <w:rPr>
          <w:rFonts w:hint="eastAsia" w:ascii="宋体" w:hAnsi="宋体" w:cs="宋体"/>
          <w:b/>
          <w:bCs/>
          <w:sz w:val="28"/>
          <w:szCs w:val="28"/>
          <w:highlight w:val="none"/>
          <w:u w:val="single"/>
        </w:rPr>
        <w:t>综素原始分</w:t>
      </w:r>
      <w:r>
        <w:rPr>
          <w:rFonts w:hint="eastAsia" w:ascii="宋体" w:hAnsi="宋体" w:cs="宋体"/>
          <w:sz w:val="28"/>
          <w:szCs w:val="28"/>
          <w:highlight w:val="none"/>
          <w:u w:val="single"/>
        </w:rPr>
        <w:t>÷所在</w:t>
      </w:r>
      <w:r>
        <w:rPr>
          <w:rFonts w:hint="eastAsia" w:ascii="宋体" w:hAnsi="宋体" w:cs="宋体"/>
          <w:b/>
          <w:bCs/>
          <w:sz w:val="28"/>
          <w:szCs w:val="28"/>
          <w:highlight w:val="none"/>
          <w:u w:val="single"/>
        </w:rPr>
        <w:t>专业内</w:t>
      </w:r>
      <w:r>
        <w:rPr>
          <w:rFonts w:hint="eastAsia" w:ascii="宋体" w:hAnsi="宋体" w:cs="宋体"/>
          <w:sz w:val="28"/>
          <w:szCs w:val="28"/>
          <w:highlight w:val="none"/>
          <w:u w:val="single"/>
        </w:rPr>
        <w:t>综素原始分最高值×100</w:t>
      </w:r>
      <w:r>
        <w:rPr>
          <w:rFonts w:hint="eastAsia" w:ascii="宋体" w:hAnsi="宋体" w:cs="宋体"/>
          <w:sz w:val="28"/>
          <w:szCs w:val="28"/>
          <w:highlight w:val="none"/>
        </w:rPr>
        <w:t>，示例如下：</w:t>
      </w:r>
      <w:bookmarkEnd w:id="0"/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8"/>
        <w:gridCol w:w="1784"/>
        <w:gridCol w:w="29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648" w:type="dxa"/>
            <w:vAlign w:val="center"/>
          </w:tcPr>
          <w:p>
            <w:pPr>
              <w:spacing w:after="156" w:afterLines="50" w:line="360" w:lineRule="auto"/>
              <w:jc w:val="center"/>
              <w:rPr>
                <w:rFonts w:hint="eastAsia"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人员</w:t>
            </w:r>
          </w:p>
        </w:tc>
        <w:tc>
          <w:tcPr>
            <w:tcW w:w="1784" w:type="dxa"/>
            <w:vAlign w:val="center"/>
          </w:tcPr>
          <w:p>
            <w:pPr>
              <w:spacing w:after="156" w:afterLines="50" w:line="360" w:lineRule="auto"/>
              <w:jc w:val="center"/>
              <w:rPr>
                <w:rFonts w:hint="eastAsia"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综素原始分</w:t>
            </w:r>
          </w:p>
        </w:tc>
        <w:tc>
          <w:tcPr>
            <w:tcW w:w="2943" w:type="dxa"/>
            <w:vAlign w:val="center"/>
          </w:tcPr>
          <w:p>
            <w:pPr>
              <w:spacing w:after="156" w:afterLines="50" w:line="360" w:lineRule="auto"/>
              <w:jc w:val="center"/>
              <w:rPr>
                <w:rFonts w:hint="eastAsia"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综素标准分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8" w:type="dxa"/>
            <w:vAlign w:val="center"/>
          </w:tcPr>
          <w:p>
            <w:pPr>
              <w:spacing w:after="156" w:afterLines="50" w:line="360" w:lineRule="auto"/>
              <w:jc w:val="center"/>
              <w:rPr>
                <w:rFonts w:hint="eastAsia"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A</w:t>
            </w:r>
          </w:p>
        </w:tc>
        <w:tc>
          <w:tcPr>
            <w:tcW w:w="1784" w:type="dxa"/>
            <w:vAlign w:val="center"/>
          </w:tcPr>
          <w:p>
            <w:pPr>
              <w:spacing w:after="156" w:afterLines="50" w:line="360" w:lineRule="auto"/>
              <w:jc w:val="center"/>
              <w:rPr>
                <w:rFonts w:hint="eastAsia"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80</w:t>
            </w:r>
          </w:p>
        </w:tc>
        <w:tc>
          <w:tcPr>
            <w:tcW w:w="2943" w:type="dxa"/>
            <w:vAlign w:val="center"/>
          </w:tcPr>
          <w:p>
            <w:pPr>
              <w:spacing w:after="156" w:afterLines="50" w:line="360" w:lineRule="auto"/>
              <w:jc w:val="center"/>
              <w:rPr>
                <w:rFonts w:hint="eastAsia"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8" w:type="dxa"/>
            <w:vAlign w:val="center"/>
          </w:tcPr>
          <w:p>
            <w:pPr>
              <w:spacing w:after="156" w:afterLines="50" w:line="360" w:lineRule="auto"/>
              <w:jc w:val="center"/>
              <w:rPr>
                <w:rFonts w:hint="eastAsia"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B</w:t>
            </w:r>
          </w:p>
        </w:tc>
        <w:tc>
          <w:tcPr>
            <w:tcW w:w="1784" w:type="dxa"/>
            <w:vAlign w:val="center"/>
          </w:tcPr>
          <w:p>
            <w:pPr>
              <w:spacing w:after="156" w:afterLines="50" w:line="360" w:lineRule="auto"/>
              <w:jc w:val="center"/>
              <w:rPr>
                <w:rFonts w:hint="eastAsia"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60</w:t>
            </w:r>
          </w:p>
        </w:tc>
        <w:tc>
          <w:tcPr>
            <w:tcW w:w="2943" w:type="dxa"/>
            <w:vAlign w:val="center"/>
          </w:tcPr>
          <w:p>
            <w:pPr>
              <w:spacing w:after="156" w:afterLines="50" w:line="360" w:lineRule="auto"/>
              <w:jc w:val="center"/>
              <w:rPr>
                <w:rFonts w:hint="eastAsia"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60</w:t>
            </w:r>
            <w:bookmarkStart w:id="1" w:name="OLE_LINK4"/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÷</w:t>
            </w:r>
            <w:bookmarkEnd w:id="1"/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80×100=75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8" w:type="dxa"/>
            <w:vAlign w:val="center"/>
          </w:tcPr>
          <w:p>
            <w:pPr>
              <w:spacing w:after="156" w:afterLines="50" w:line="360" w:lineRule="auto"/>
              <w:jc w:val="center"/>
              <w:rPr>
                <w:rFonts w:hint="eastAsia"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C</w:t>
            </w:r>
          </w:p>
        </w:tc>
        <w:tc>
          <w:tcPr>
            <w:tcW w:w="1784" w:type="dxa"/>
            <w:vAlign w:val="center"/>
          </w:tcPr>
          <w:p>
            <w:pPr>
              <w:spacing w:after="156" w:afterLines="50" w:line="360" w:lineRule="auto"/>
              <w:jc w:val="center"/>
              <w:rPr>
                <w:rFonts w:hint="eastAsia"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40</w:t>
            </w:r>
          </w:p>
        </w:tc>
        <w:tc>
          <w:tcPr>
            <w:tcW w:w="2943" w:type="dxa"/>
            <w:vAlign w:val="center"/>
          </w:tcPr>
          <w:p>
            <w:pPr>
              <w:spacing w:after="156" w:afterLines="50" w:line="360" w:lineRule="auto"/>
              <w:jc w:val="center"/>
              <w:rPr>
                <w:rFonts w:hint="eastAsia"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40÷80×100=50</w:t>
            </w:r>
          </w:p>
        </w:tc>
      </w:tr>
    </w:tbl>
    <w:p>
      <w:pPr>
        <w:spacing w:after="156" w:afterLines="50" w:line="360" w:lineRule="auto"/>
        <w:ind w:firstLine="560" w:firstLineChars="200"/>
        <w:rPr>
          <w:rFonts w:hint="eastAsia" w:ascii="宋体" w:hAnsi="宋体" w:cs="宋体"/>
          <w:sz w:val="28"/>
          <w:szCs w:val="28"/>
          <w:highlight w:val="none"/>
        </w:rPr>
      </w:pPr>
      <w:r>
        <w:rPr>
          <w:rFonts w:hint="eastAsia" w:ascii="宋体" w:hAnsi="宋体" w:cs="宋体"/>
          <w:sz w:val="28"/>
          <w:szCs w:val="28"/>
          <w:highlight w:val="none"/>
        </w:rPr>
        <w:t>（二）</w:t>
      </w:r>
      <w:r>
        <w:rPr>
          <w:rFonts w:hint="eastAsia" w:ascii="宋体" w:hAnsi="宋体" w:cs="宋体"/>
          <w:sz w:val="28"/>
          <w:szCs w:val="28"/>
          <w:highlight w:val="none"/>
          <w:u w:val="single"/>
        </w:rPr>
        <w:t>综素原始分数=学生前三个学年综素的算术平均数</w:t>
      </w:r>
      <w:r>
        <w:rPr>
          <w:rFonts w:hint="eastAsia" w:ascii="宋体" w:hAnsi="宋体" w:cs="宋体"/>
          <w:sz w:val="28"/>
          <w:szCs w:val="28"/>
          <w:highlight w:val="none"/>
        </w:rPr>
        <w:t>。综素原始分数必须是学生在校学习期间取得，各学年综素的具体构成及计分原则依据《</w:t>
      </w:r>
      <w:r>
        <w:rPr>
          <w:rFonts w:ascii="宋体" w:hAnsi="宋体" w:cs="宋体"/>
          <w:sz w:val="28"/>
          <w:szCs w:val="28"/>
          <w:highlight w:val="none"/>
        </w:rPr>
        <w:t>北京林业大学材料科学与技术学院本科生综合素质评价实施方案（2025年3月修订）</w:t>
      </w:r>
      <w:r>
        <w:rPr>
          <w:rFonts w:hint="eastAsia" w:ascii="宋体" w:hAnsi="宋体" w:cs="宋体"/>
          <w:sz w:val="28"/>
          <w:szCs w:val="28"/>
          <w:highlight w:val="none"/>
        </w:rPr>
        <w:t>》执行。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cs="宋体"/>
          <w:sz w:val="28"/>
          <w:szCs w:val="28"/>
          <w:highlight w:val="none"/>
        </w:rPr>
      </w:pPr>
      <w:r>
        <w:rPr>
          <w:rFonts w:hint="eastAsia" w:ascii="宋体" w:hAnsi="宋体" w:cs="宋体"/>
          <w:sz w:val="28"/>
          <w:szCs w:val="28"/>
          <w:highlight w:val="none"/>
        </w:rPr>
        <w:t>二、2022级木材科学与工程（中加合作办学项目）本科生</w:t>
      </w:r>
    </w:p>
    <w:p>
      <w:pPr>
        <w:spacing w:after="156" w:afterLines="50" w:line="360" w:lineRule="auto"/>
        <w:ind w:firstLine="560" w:firstLineChars="200"/>
        <w:rPr>
          <w:rFonts w:hint="eastAsia" w:ascii="宋体" w:hAnsi="宋体" w:cs="宋体"/>
          <w:sz w:val="28"/>
          <w:szCs w:val="28"/>
          <w:highlight w:val="none"/>
        </w:rPr>
      </w:pPr>
      <w:r>
        <w:rPr>
          <w:rFonts w:hint="eastAsia" w:ascii="宋体" w:hAnsi="宋体" w:cs="宋体"/>
          <w:sz w:val="28"/>
          <w:szCs w:val="28"/>
          <w:highlight w:val="none"/>
        </w:rPr>
        <w:t>（一）在</w:t>
      </w:r>
      <w:r>
        <w:rPr>
          <w:rFonts w:hint="eastAsia"/>
          <w:sz w:val="28"/>
          <w:szCs w:val="28"/>
          <w:highlight w:val="none"/>
        </w:rPr>
        <w:t>2022级木材科学与工程（中加合作办学项目）本科生</w:t>
      </w:r>
      <w:r>
        <w:rPr>
          <w:rFonts w:hint="eastAsia" w:ascii="宋体" w:hAnsi="宋体" w:cs="宋体"/>
          <w:sz w:val="28"/>
          <w:szCs w:val="28"/>
          <w:highlight w:val="none"/>
        </w:rPr>
        <w:t>保研环节，应用于综合成绩的综合素质成绩（以下简称“综素”）为</w:t>
      </w:r>
      <w:r>
        <w:rPr>
          <w:rFonts w:hint="eastAsia" w:ascii="宋体" w:hAnsi="宋体" w:cs="宋体"/>
          <w:b/>
          <w:bCs/>
          <w:sz w:val="28"/>
          <w:szCs w:val="28"/>
          <w:highlight w:val="none"/>
        </w:rPr>
        <w:t>综素标准分</w:t>
      </w:r>
      <w:r>
        <w:rPr>
          <w:rFonts w:hint="eastAsia" w:ascii="宋体" w:hAnsi="宋体" w:cs="宋体"/>
          <w:sz w:val="28"/>
          <w:szCs w:val="28"/>
          <w:highlight w:val="none"/>
        </w:rPr>
        <w:t>，采用5分制，在计算综合成绩时直接加和。</w:t>
      </w:r>
    </w:p>
    <w:p>
      <w:pPr>
        <w:spacing w:after="156" w:afterLines="50" w:line="360" w:lineRule="auto"/>
        <w:ind w:firstLine="560" w:firstLineChars="200"/>
        <w:rPr>
          <w:rFonts w:hint="eastAsia" w:ascii="宋体" w:hAnsi="宋体" w:cs="宋体"/>
          <w:sz w:val="28"/>
          <w:szCs w:val="28"/>
          <w:highlight w:val="none"/>
        </w:rPr>
      </w:pPr>
      <w:r>
        <w:rPr>
          <w:rFonts w:hint="eastAsia" w:ascii="宋体" w:hAnsi="宋体" w:cs="宋体"/>
          <w:sz w:val="28"/>
          <w:szCs w:val="28"/>
          <w:highlight w:val="none"/>
          <w:u w:val="single"/>
        </w:rPr>
        <w:t>综素标准分</w:t>
      </w:r>
      <w:bookmarkStart w:id="2" w:name="OLE_LINK3"/>
      <w:r>
        <w:rPr>
          <w:rFonts w:hint="eastAsia" w:ascii="宋体" w:hAnsi="宋体" w:cs="宋体"/>
          <w:sz w:val="28"/>
          <w:szCs w:val="28"/>
          <w:highlight w:val="none"/>
          <w:u w:val="single"/>
        </w:rPr>
        <w:t>（5分）=志愿服务</w:t>
      </w:r>
      <w:bookmarkEnd w:id="2"/>
      <w:r>
        <w:rPr>
          <w:rFonts w:hint="eastAsia" w:ascii="宋体" w:hAnsi="宋体" w:cs="宋体"/>
          <w:sz w:val="28"/>
          <w:szCs w:val="28"/>
          <w:highlight w:val="none"/>
          <w:u w:val="single"/>
        </w:rPr>
        <w:t>标准分（2分）+科研成果标准分（1分）+竞赛获奖标准分（1.5分）+国际组织实习标准分（0.5分）</w:t>
      </w:r>
      <w:r>
        <w:rPr>
          <w:rFonts w:hint="eastAsia" w:ascii="宋体" w:hAnsi="宋体" w:cs="宋体"/>
          <w:sz w:val="28"/>
          <w:szCs w:val="28"/>
          <w:highlight w:val="none"/>
        </w:rPr>
        <w:t>。</w:t>
      </w:r>
    </w:p>
    <w:p>
      <w:pPr>
        <w:spacing w:after="156" w:afterLines="50" w:line="360" w:lineRule="auto"/>
        <w:ind w:firstLine="560" w:firstLineChars="200"/>
        <w:rPr>
          <w:rFonts w:hint="eastAsia" w:ascii="宋体" w:hAnsi="宋体" w:cs="宋体"/>
          <w:sz w:val="28"/>
          <w:szCs w:val="28"/>
          <w:highlight w:val="none"/>
        </w:rPr>
      </w:pPr>
      <w:r>
        <w:rPr>
          <w:rFonts w:hint="eastAsia" w:ascii="宋体" w:hAnsi="宋体" w:cs="宋体"/>
          <w:sz w:val="28"/>
          <w:szCs w:val="28"/>
          <w:highlight w:val="none"/>
          <w:u w:val="single"/>
        </w:rPr>
        <w:t>子项综素标准分=学生</w:t>
      </w:r>
      <w:r>
        <w:rPr>
          <w:rFonts w:hint="eastAsia" w:ascii="宋体" w:hAnsi="宋体" w:cs="宋体"/>
          <w:b/>
          <w:bCs/>
          <w:sz w:val="28"/>
          <w:szCs w:val="28"/>
          <w:highlight w:val="none"/>
          <w:u w:val="single"/>
        </w:rPr>
        <w:t>子项综素原始分</w:t>
      </w:r>
      <w:r>
        <w:rPr>
          <w:rFonts w:hint="eastAsia" w:ascii="宋体" w:hAnsi="宋体" w:cs="宋体"/>
          <w:sz w:val="28"/>
          <w:szCs w:val="28"/>
          <w:highlight w:val="none"/>
          <w:u w:val="single"/>
        </w:rPr>
        <w:t>÷所在</w:t>
      </w:r>
      <w:r>
        <w:rPr>
          <w:rFonts w:hint="eastAsia" w:ascii="宋体" w:hAnsi="宋体" w:cs="宋体"/>
          <w:b/>
          <w:bCs/>
          <w:sz w:val="28"/>
          <w:szCs w:val="28"/>
          <w:highlight w:val="none"/>
          <w:u w:val="single"/>
        </w:rPr>
        <w:t>专业内</w:t>
      </w:r>
      <w:r>
        <w:rPr>
          <w:rFonts w:hint="eastAsia" w:ascii="宋体" w:hAnsi="宋体" w:cs="宋体"/>
          <w:sz w:val="28"/>
          <w:szCs w:val="28"/>
          <w:highlight w:val="none"/>
          <w:u w:val="single"/>
        </w:rPr>
        <w:t>子项综素原始分最高值×子项上限分值</w:t>
      </w:r>
      <w:r>
        <w:rPr>
          <w:rFonts w:hint="eastAsia" w:ascii="宋体" w:hAnsi="宋体" w:cs="宋体"/>
          <w:sz w:val="28"/>
          <w:szCs w:val="28"/>
          <w:highlight w:val="none"/>
        </w:rPr>
        <w:t>，示例如下：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1896"/>
        <w:gridCol w:w="1896"/>
        <w:gridCol w:w="1896"/>
        <w:gridCol w:w="18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6" w:type="dxa"/>
            <w:vAlign w:val="center"/>
          </w:tcPr>
          <w:p>
            <w:pPr>
              <w:spacing w:after="156" w:afterLines="50" w:line="360" w:lineRule="auto"/>
              <w:jc w:val="center"/>
              <w:rPr>
                <w:rFonts w:hint="eastAsia"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人员</w:t>
            </w:r>
          </w:p>
        </w:tc>
        <w:tc>
          <w:tcPr>
            <w:tcW w:w="1896" w:type="dxa"/>
            <w:vAlign w:val="center"/>
          </w:tcPr>
          <w:p>
            <w:pPr>
              <w:spacing w:after="156" w:afterLines="50" w:line="360" w:lineRule="auto"/>
              <w:jc w:val="center"/>
              <w:rPr>
                <w:rFonts w:hint="eastAsia"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志愿服务原始分</w:t>
            </w:r>
          </w:p>
        </w:tc>
        <w:tc>
          <w:tcPr>
            <w:tcW w:w="1896" w:type="dxa"/>
            <w:vAlign w:val="center"/>
          </w:tcPr>
          <w:p>
            <w:pPr>
              <w:spacing w:after="156" w:afterLines="50" w:line="360" w:lineRule="auto"/>
              <w:jc w:val="center"/>
              <w:rPr>
                <w:rFonts w:hint="eastAsia"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志愿服务标准分</w:t>
            </w:r>
          </w:p>
        </w:tc>
        <w:tc>
          <w:tcPr>
            <w:tcW w:w="1896" w:type="dxa"/>
            <w:vAlign w:val="center"/>
          </w:tcPr>
          <w:p>
            <w:pPr>
              <w:spacing w:after="156" w:afterLines="50" w:line="360" w:lineRule="auto"/>
              <w:jc w:val="center"/>
              <w:rPr>
                <w:rFonts w:hint="eastAsia"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科研成果原始分</w:t>
            </w:r>
          </w:p>
        </w:tc>
        <w:tc>
          <w:tcPr>
            <w:tcW w:w="1896" w:type="dxa"/>
            <w:vAlign w:val="center"/>
          </w:tcPr>
          <w:p>
            <w:pPr>
              <w:spacing w:after="156" w:afterLines="50" w:line="360" w:lineRule="auto"/>
              <w:jc w:val="center"/>
              <w:rPr>
                <w:rFonts w:hint="eastAsia"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科研成果标准分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6" w:type="dxa"/>
            <w:vAlign w:val="center"/>
          </w:tcPr>
          <w:p>
            <w:pPr>
              <w:spacing w:after="156" w:afterLines="50" w:line="360" w:lineRule="auto"/>
              <w:jc w:val="center"/>
              <w:rPr>
                <w:rFonts w:hint="eastAsia"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A</w:t>
            </w:r>
          </w:p>
        </w:tc>
        <w:tc>
          <w:tcPr>
            <w:tcW w:w="1896" w:type="dxa"/>
            <w:vAlign w:val="center"/>
          </w:tcPr>
          <w:p>
            <w:pPr>
              <w:spacing w:after="156" w:afterLines="50" w:line="360" w:lineRule="auto"/>
              <w:jc w:val="center"/>
              <w:rPr>
                <w:rFonts w:hint="eastAsia"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160</w:t>
            </w:r>
          </w:p>
        </w:tc>
        <w:tc>
          <w:tcPr>
            <w:tcW w:w="1896" w:type="dxa"/>
            <w:vAlign w:val="center"/>
          </w:tcPr>
          <w:p>
            <w:pPr>
              <w:spacing w:after="156" w:afterLines="50" w:line="360" w:lineRule="auto"/>
              <w:jc w:val="center"/>
              <w:rPr>
                <w:rFonts w:hint="eastAsia"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2</w:t>
            </w:r>
          </w:p>
        </w:tc>
        <w:tc>
          <w:tcPr>
            <w:tcW w:w="1896" w:type="dxa"/>
            <w:vAlign w:val="center"/>
          </w:tcPr>
          <w:p>
            <w:pPr>
              <w:spacing w:after="156" w:afterLines="50" w:line="360" w:lineRule="auto"/>
              <w:jc w:val="center"/>
              <w:rPr>
                <w:rFonts w:hint="eastAsia"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10</w:t>
            </w:r>
          </w:p>
        </w:tc>
        <w:tc>
          <w:tcPr>
            <w:tcW w:w="1896" w:type="dxa"/>
            <w:vAlign w:val="center"/>
          </w:tcPr>
          <w:p>
            <w:pPr>
              <w:spacing w:after="156" w:afterLines="50" w:line="360" w:lineRule="auto"/>
              <w:jc w:val="center"/>
              <w:rPr>
                <w:rFonts w:hint="eastAsia"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6" w:type="dxa"/>
            <w:vAlign w:val="center"/>
          </w:tcPr>
          <w:p>
            <w:pPr>
              <w:spacing w:after="156" w:afterLines="50" w:line="360" w:lineRule="auto"/>
              <w:jc w:val="center"/>
              <w:rPr>
                <w:rFonts w:hint="eastAsia"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B</w:t>
            </w:r>
          </w:p>
        </w:tc>
        <w:tc>
          <w:tcPr>
            <w:tcW w:w="1896" w:type="dxa"/>
            <w:vAlign w:val="center"/>
          </w:tcPr>
          <w:p>
            <w:pPr>
              <w:spacing w:after="156" w:afterLines="50" w:line="360" w:lineRule="auto"/>
              <w:jc w:val="center"/>
              <w:rPr>
                <w:rFonts w:hint="eastAsia"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80</w:t>
            </w:r>
          </w:p>
        </w:tc>
        <w:tc>
          <w:tcPr>
            <w:tcW w:w="1896" w:type="dxa"/>
            <w:vAlign w:val="center"/>
          </w:tcPr>
          <w:p>
            <w:pPr>
              <w:spacing w:after="156" w:afterLines="50" w:line="360" w:lineRule="auto"/>
              <w:jc w:val="center"/>
              <w:rPr>
                <w:rFonts w:hint="eastAsia"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80÷160×2=1</w:t>
            </w:r>
          </w:p>
        </w:tc>
        <w:tc>
          <w:tcPr>
            <w:tcW w:w="1896" w:type="dxa"/>
            <w:vAlign w:val="center"/>
          </w:tcPr>
          <w:p>
            <w:pPr>
              <w:spacing w:after="156" w:afterLines="50" w:line="360" w:lineRule="auto"/>
              <w:jc w:val="center"/>
              <w:rPr>
                <w:rFonts w:hint="eastAsia"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5</w:t>
            </w:r>
          </w:p>
        </w:tc>
        <w:tc>
          <w:tcPr>
            <w:tcW w:w="1896" w:type="dxa"/>
            <w:vAlign w:val="center"/>
          </w:tcPr>
          <w:p>
            <w:pPr>
              <w:spacing w:after="156" w:afterLines="50" w:line="360" w:lineRule="auto"/>
              <w:jc w:val="center"/>
              <w:rPr>
                <w:rFonts w:hint="eastAsia"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5÷10×1=0.5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6" w:type="dxa"/>
            <w:vAlign w:val="center"/>
          </w:tcPr>
          <w:p>
            <w:pPr>
              <w:spacing w:after="156" w:afterLines="50" w:line="360" w:lineRule="auto"/>
              <w:jc w:val="center"/>
              <w:rPr>
                <w:rFonts w:hint="eastAsia"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C</w:t>
            </w:r>
          </w:p>
        </w:tc>
        <w:tc>
          <w:tcPr>
            <w:tcW w:w="1896" w:type="dxa"/>
            <w:vAlign w:val="center"/>
          </w:tcPr>
          <w:p>
            <w:pPr>
              <w:spacing w:after="156" w:afterLines="50" w:line="360" w:lineRule="auto"/>
              <w:jc w:val="center"/>
              <w:rPr>
                <w:rFonts w:hint="eastAsia"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40</w:t>
            </w:r>
          </w:p>
        </w:tc>
        <w:tc>
          <w:tcPr>
            <w:tcW w:w="1896" w:type="dxa"/>
            <w:vAlign w:val="center"/>
          </w:tcPr>
          <w:p>
            <w:pPr>
              <w:spacing w:after="156" w:afterLines="50" w:line="360" w:lineRule="auto"/>
              <w:jc w:val="center"/>
              <w:rPr>
                <w:rFonts w:hint="eastAsia"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40÷160×2=0.5</w:t>
            </w:r>
          </w:p>
        </w:tc>
        <w:tc>
          <w:tcPr>
            <w:tcW w:w="1896" w:type="dxa"/>
            <w:vAlign w:val="center"/>
          </w:tcPr>
          <w:p>
            <w:pPr>
              <w:spacing w:after="156" w:afterLines="50" w:line="360" w:lineRule="auto"/>
              <w:jc w:val="center"/>
              <w:rPr>
                <w:rFonts w:hint="eastAsia"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2</w:t>
            </w:r>
          </w:p>
        </w:tc>
        <w:tc>
          <w:tcPr>
            <w:tcW w:w="1896" w:type="dxa"/>
            <w:vAlign w:val="center"/>
          </w:tcPr>
          <w:p>
            <w:pPr>
              <w:spacing w:after="156" w:afterLines="50" w:line="360" w:lineRule="auto"/>
              <w:jc w:val="center"/>
              <w:rPr>
                <w:rFonts w:hint="eastAsia"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2÷10×1=0.2</w:t>
            </w:r>
          </w:p>
        </w:tc>
      </w:tr>
    </w:tbl>
    <w:p>
      <w:pPr>
        <w:spacing w:after="156" w:afterLines="50" w:line="360" w:lineRule="auto"/>
        <w:ind w:firstLine="560" w:firstLineChars="200"/>
        <w:rPr>
          <w:rFonts w:hint="eastAsia" w:ascii="宋体" w:hAnsi="宋体" w:cs="宋体"/>
          <w:sz w:val="28"/>
          <w:szCs w:val="28"/>
          <w:highlight w:val="none"/>
        </w:rPr>
      </w:pPr>
      <w:r>
        <w:rPr>
          <w:rFonts w:hint="eastAsia" w:ascii="宋体" w:hAnsi="宋体" w:cs="宋体"/>
          <w:sz w:val="28"/>
          <w:szCs w:val="28"/>
          <w:highlight w:val="none"/>
        </w:rPr>
        <w:t>（二）综素原始分数必须是学生在校学习期间取得，各学年综素的具体构成及计分原则依据《材料学院本科生综合素质附加分评分标准》（2022最新修订版）。各子项综素原始分计算方法如下：</w:t>
      </w:r>
    </w:p>
    <w:p>
      <w:pPr>
        <w:spacing w:line="360" w:lineRule="auto"/>
        <w:ind w:firstLine="560" w:firstLineChars="200"/>
        <w:rPr>
          <w:rFonts w:hint="eastAsia" w:ascii="宋体" w:hAnsi="宋体" w:cs="宋体"/>
          <w:sz w:val="28"/>
          <w:szCs w:val="28"/>
          <w:highlight w:val="none"/>
        </w:rPr>
      </w:pPr>
      <w:r>
        <w:rPr>
          <w:rFonts w:hint="eastAsia" w:ascii="宋体" w:hAnsi="宋体" w:cs="宋体"/>
          <w:sz w:val="28"/>
          <w:szCs w:val="28"/>
          <w:highlight w:val="none"/>
        </w:rPr>
        <w:t>1.到国际组织实习原始分：有符合要求的实习，得0.5分；无符合要求的实习，得0分。国际组织实习由学校相关部门认定是否属于计分项。</w:t>
      </w:r>
    </w:p>
    <w:p>
      <w:pPr>
        <w:spacing w:line="360" w:lineRule="auto"/>
        <w:ind w:firstLine="560" w:firstLineChars="200"/>
        <w:rPr>
          <w:rFonts w:hint="eastAsia" w:ascii="宋体" w:hAnsi="宋体" w:cs="宋体"/>
          <w:sz w:val="28"/>
          <w:szCs w:val="28"/>
          <w:highlight w:val="none"/>
        </w:rPr>
      </w:pPr>
      <w:r>
        <w:rPr>
          <w:rFonts w:hint="eastAsia" w:ascii="宋体" w:hAnsi="宋体" w:cs="宋体"/>
          <w:sz w:val="28"/>
          <w:szCs w:val="28"/>
          <w:highlight w:val="none"/>
        </w:rPr>
        <w:t>2.参加志愿服务原始分：前三年综合素质成绩除去“三、专业素质”之外的其他部分之和，学生在当年某一方面有多项加分时，只取一项。</w:t>
      </w:r>
    </w:p>
    <w:p>
      <w:pPr>
        <w:spacing w:line="360" w:lineRule="auto"/>
        <w:ind w:firstLine="560" w:firstLineChars="200"/>
        <w:rPr>
          <w:rFonts w:hint="eastAsia" w:ascii="宋体" w:hAnsi="宋体" w:cs="宋体"/>
          <w:sz w:val="28"/>
          <w:szCs w:val="28"/>
          <w:highlight w:val="none"/>
        </w:rPr>
      </w:pPr>
      <w:r>
        <w:rPr>
          <w:rFonts w:hint="eastAsia" w:ascii="宋体" w:hAnsi="宋体" w:cs="宋体"/>
          <w:sz w:val="28"/>
          <w:szCs w:val="28"/>
          <w:highlight w:val="none"/>
        </w:rPr>
        <w:t>3.科研成果原始分：前三年综合素质成绩“三、专业素质”中“3.1学术成果”项赋分之和，学生在当年某一方面有多项加分时，只取一项。</w:t>
      </w:r>
    </w:p>
    <w:p>
      <w:pPr>
        <w:spacing w:after="156" w:afterLines="50" w:line="360" w:lineRule="auto"/>
        <w:ind w:firstLine="560" w:firstLineChars="200"/>
        <w:rPr>
          <w:rFonts w:hint="eastAsia" w:ascii="宋体" w:hAnsi="宋体" w:cs="宋体"/>
          <w:sz w:val="28"/>
          <w:szCs w:val="28"/>
          <w:highlight w:val="none"/>
        </w:rPr>
      </w:pPr>
      <w:r>
        <w:rPr>
          <w:rFonts w:hint="eastAsia" w:ascii="宋体" w:hAnsi="宋体" w:cs="宋体"/>
          <w:sz w:val="28"/>
          <w:szCs w:val="28"/>
          <w:highlight w:val="none"/>
        </w:rPr>
        <w:t>4.竞赛获奖原始分：前三年综合素质成绩“三、专业素质”中“3.2学术竞赛”项赋分之和，学生在当年某一方面有多项加分时，只取一项。</w:t>
      </w:r>
    </w:p>
    <w:p>
      <w:pPr>
        <w:spacing w:line="360" w:lineRule="auto"/>
        <w:ind w:firstLine="560" w:firstLineChars="200"/>
        <w:rPr>
          <w:rFonts w:hint="eastAsia" w:ascii="宋体" w:hAnsi="宋体" w:cs="宋体"/>
          <w:sz w:val="28"/>
          <w:szCs w:val="28"/>
          <w:highlight w:val="none"/>
        </w:rPr>
      </w:pPr>
      <w:r>
        <w:rPr>
          <w:rFonts w:hint="eastAsia" w:ascii="宋体" w:hAnsi="宋体" w:cs="宋体"/>
          <w:sz w:val="28"/>
          <w:szCs w:val="28"/>
          <w:highlight w:val="none"/>
        </w:rPr>
        <w:t>三、补充说明：凡在综合素质测评过程中有弄虚作假、虚开证明的情况，一经查实，将给予相应的纪律处分，情节严重者取消其申请推免资格。</w:t>
      </w:r>
    </w:p>
    <w:p>
      <w:pPr>
        <w:spacing w:line="360" w:lineRule="auto"/>
        <w:jc w:val="right"/>
        <w:rPr>
          <w:rFonts w:hint="eastAsia" w:ascii="宋体" w:hAnsi="宋体" w:cs="宋体"/>
          <w:sz w:val="28"/>
          <w:szCs w:val="28"/>
          <w:highlight w:val="none"/>
        </w:rPr>
      </w:pPr>
      <w:r>
        <w:rPr>
          <w:rFonts w:hint="eastAsia" w:ascii="宋体" w:hAnsi="宋体" w:cs="宋体"/>
          <w:sz w:val="28"/>
          <w:szCs w:val="28"/>
          <w:highlight w:val="none"/>
        </w:rPr>
        <w:t>材料科学与技术学院</w:t>
      </w:r>
    </w:p>
    <w:p>
      <w:pPr>
        <w:spacing w:line="360" w:lineRule="auto"/>
        <w:jc w:val="right"/>
        <w:rPr>
          <w:bCs/>
          <w:sz w:val="32"/>
          <w:szCs w:val="32"/>
          <w:highlight w:val="none"/>
        </w:rPr>
      </w:pPr>
      <w:r>
        <w:rPr>
          <w:rFonts w:hint="eastAsia" w:ascii="宋体" w:hAnsi="宋体" w:cs="宋体"/>
          <w:sz w:val="28"/>
          <w:szCs w:val="28"/>
          <w:highlight w:val="none"/>
        </w:rPr>
        <w:t>2026年9月</w:t>
      </w:r>
      <w:r>
        <w:rPr>
          <w:rFonts w:hint="eastAsia" w:ascii="宋体" w:hAnsi="宋体" w:cs="宋体"/>
          <w:sz w:val="28"/>
          <w:szCs w:val="28"/>
          <w:highlight w:val="none"/>
          <w:lang w:val="en-US" w:eastAsia="zh-CN"/>
        </w:rPr>
        <w:t>8</w:t>
      </w:r>
      <w:r>
        <w:rPr>
          <w:rFonts w:hint="eastAsia" w:ascii="宋体" w:hAnsi="宋体" w:cs="宋体"/>
          <w:sz w:val="28"/>
          <w:szCs w:val="28"/>
          <w:highlight w:val="none"/>
        </w:rPr>
        <w:t>日</w:t>
      </w:r>
    </w:p>
    <w:p/>
    <w:sectPr>
      <w:pgSz w:w="11906" w:h="16838"/>
      <w:pgMar w:top="851" w:right="1134" w:bottom="851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liNjlkOTAzY2QyZjQ0M2UzMmU3OTdhODE4MTRkMDIifQ=="/>
  </w:docVars>
  <w:rsids>
    <w:rsidRoot w:val="00000000"/>
    <w:rsid w:val="7BBD3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2026-09-08T09:43:16Z</dcterms:created>
  <dc:creator>printuser</dc:creator>
  <cp:lastModifiedBy>A^Moment娜</cp:lastModifiedBy>
  <dcterms:modified xsi:type="dcterms:W3CDTF">2026-09-08T09:43:23Z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62295D26BA2C42819E28CEE27EA4486F_12</vt:lpwstr>
  </property>
</Properties>
</file>